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spacing w:after="0" w:before="0" w:line="100" w:lineRule="atLeast"/>
        <w:ind w:hanging="0" w:left="475" w:right="0"/>
        <w:jc w:val="center"/>
      </w:pPr>
      <w:r>
        <w:rPr>
          <w:rFonts w:ascii="Arial ce" w:cs="Calibri" w:eastAsia="Times New Roman" w:hAnsi="Arial ce"/>
          <w:b w:val="false"/>
          <w:bCs w:val="false"/>
          <w:color w:val="000000"/>
          <w:sz w:val="20"/>
          <w:szCs w:val="20"/>
        </w:rPr>
        <w:t>I Ogólnopolski Turniej Tańców Polskich “Dobczyce 2012”</w:t>
      </w:r>
    </w:p>
    <w:p>
      <w:pPr>
        <w:pStyle w:val="style0"/>
        <w:spacing w:after="0" w:before="0" w:line="100" w:lineRule="atLeast"/>
        <w:ind w:hanging="0" w:left="475" w:right="0"/>
        <w:jc w:val="center"/>
      </w:pPr>
      <w:r>
        <w:rPr>
          <w:rFonts w:ascii="Arial ce" w:cs="Calibri" w:eastAsia="Times New Roman" w:hAnsi="Arial ce"/>
          <w:b w:val="false"/>
          <w:bCs w:val="false"/>
          <w:color w:val="000000"/>
          <w:sz w:val="20"/>
          <w:szCs w:val="20"/>
        </w:rPr>
        <w:t>Dobczyce, 22-23 września 2012 r.</w:t>
      </w:r>
    </w:p>
    <w:p>
      <w:pPr>
        <w:pStyle w:val="style0"/>
        <w:spacing w:after="0" w:before="0" w:line="100" w:lineRule="atLeast"/>
        <w:ind w:hanging="0" w:left="475" w:right="0"/>
      </w:pPr>
      <w:r>
        <w:rPr>
          <w:b w:val="false"/>
          <w:bCs w:val="false"/>
          <w:color w:val="000000"/>
        </w:rPr>
      </w:r>
    </w:p>
    <w:p>
      <w:pPr>
        <w:pStyle w:val="style0"/>
        <w:spacing w:after="0" w:before="0" w:line="100" w:lineRule="atLeast"/>
        <w:ind w:hanging="0" w:left="475" w:right="0"/>
        <w:jc w:val="center"/>
      </w:pPr>
      <w:r>
        <w:rPr>
          <w:rFonts w:ascii="Arial ce" w:cs="Calibri" w:eastAsia="Times New Roman" w:hAnsi="Arial ce"/>
          <w:b w:val="false"/>
          <w:bCs w:val="false"/>
          <w:color w:val="000000"/>
          <w:sz w:val="20"/>
          <w:szCs w:val="20"/>
        </w:rPr>
        <w:t>REGULAMIN TURNIEJU</w:t>
      </w:r>
    </w:p>
    <w:p>
      <w:pPr>
        <w:pStyle w:val="style0"/>
        <w:spacing w:after="0" w:before="0" w:line="100" w:lineRule="atLeast"/>
        <w:ind w:hanging="0" w:left="475" w:right="0"/>
        <w:jc w:val="center"/>
      </w:pPr>
      <w:r>
        <w:rPr>
          <w:b w:val="false"/>
          <w:bCs w:val="false"/>
          <w:color w:val="000000"/>
        </w:rPr>
      </w:r>
    </w:p>
    <w:p>
      <w:pPr>
        <w:pStyle w:val="style3"/>
        <w:numPr>
          <w:ilvl w:val="2"/>
          <w:numId w:val="2"/>
        </w:numPr>
        <w:ind w:hanging="0" w:left="475" w:right="0"/>
      </w:pPr>
      <w:r>
        <w:rPr>
          <w:b w:val="false"/>
          <w:bCs w:val="false"/>
          <w:color w:val="000000"/>
        </w:rPr>
      </w:r>
    </w:p>
    <w:p>
      <w:pPr>
        <w:pStyle w:val="style3"/>
        <w:numPr>
          <w:ilvl w:val="2"/>
          <w:numId w:val="2"/>
        </w:numPr>
        <w:ind w:hanging="0" w:left="475" w:right="0"/>
      </w:pP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>I. CELE KONKURSU:</w:t>
      </w: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 xml:space="preserve"> </w:t>
      </w:r>
    </w:p>
    <w:p>
      <w:pPr>
        <w:pStyle w:val="style3"/>
        <w:numPr>
          <w:ilvl w:val="0"/>
          <w:numId w:val="3"/>
        </w:numPr>
        <w:spacing w:after="28" w:before="28"/>
        <w:ind w:hanging="0" w:left="475" w:right="0"/>
      </w:pP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 xml:space="preserve">Ochrona dziedzictwa narodowego. </w:t>
      </w:r>
    </w:p>
    <w:p>
      <w:pPr>
        <w:pStyle w:val="style3"/>
        <w:numPr>
          <w:ilvl w:val="0"/>
          <w:numId w:val="3"/>
        </w:numPr>
        <w:spacing w:after="28" w:before="28"/>
        <w:ind w:hanging="0" w:left="475" w:right="0"/>
      </w:pP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 xml:space="preserve">Rozbudzenie ambicji i potrzeby tańczenia tańców polskich . </w:t>
      </w:r>
    </w:p>
    <w:p>
      <w:pPr>
        <w:pStyle w:val="style3"/>
        <w:numPr>
          <w:ilvl w:val="0"/>
          <w:numId w:val="3"/>
        </w:numPr>
        <w:spacing w:after="28" w:before="28"/>
        <w:ind w:hanging="0" w:left="475" w:right="0"/>
      </w:pP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 xml:space="preserve">Popularyzacja tańców polskich. </w:t>
      </w:r>
    </w:p>
    <w:p>
      <w:pPr>
        <w:pStyle w:val="style3"/>
        <w:numPr>
          <w:ilvl w:val="0"/>
          <w:numId w:val="3"/>
        </w:numPr>
        <w:spacing w:after="28" w:before="28"/>
        <w:ind w:hanging="0" w:left="475" w:right="0"/>
      </w:pP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 xml:space="preserve">Stworzenie dzieciom i młodzieży możliwości aktywnego spędzenia wolnego czasu . </w:t>
      </w:r>
    </w:p>
    <w:p>
      <w:pPr>
        <w:pStyle w:val="style3"/>
        <w:numPr>
          <w:ilvl w:val="2"/>
          <w:numId w:val="2"/>
        </w:numPr>
        <w:ind w:hanging="0" w:left="475" w:right="0"/>
      </w:pPr>
      <w:r>
        <w:rPr>
          <w:b w:val="false"/>
          <w:bCs w:val="false"/>
          <w:color w:val="000000"/>
        </w:rPr>
      </w:r>
    </w:p>
    <w:p>
      <w:pPr>
        <w:pStyle w:val="style3"/>
        <w:numPr>
          <w:ilvl w:val="2"/>
          <w:numId w:val="2"/>
        </w:numPr>
        <w:ind w:hanging="0" w:left="475" w:right="0"/>
      </w:pP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>II. ORGANIZATORZY:</w:t>
      </w: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 xml:space="preserve"> </w:t>
      </w:r>
    </w:p>
    <w:p>
      <w:pPr>
        <w:pStyle w:val="style3"/>
        <w:numPr>
          <w:ilvl w:val="0"/>
          <w:numId w:val="4"/>
        </w:numPr>
        <w:spacing w:after="28" w:before="28"/>
        <w:ind w:hanging="0" w:left="475" w:right="0"/>
      </w:pP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>Stowarzyszenie Sztuki i Edukacji Artystycznej w Krakowie</w:t>
      </w:r>
    </w:p>
    <w:p>
      <w:pPr>
        <w:pStyle w:val="style3"/>
        <w:numPr>
          <w:ilvl w:val="0"/>
          <w:numId w:val="4"/>
        </w:numPr>
        <w:spacing w:after="28" w:before="28"/>
        <w:ind w:hanging="0" w:left="475" w:right="0"/>
      </w:pP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>Gmina Dobczyce</w:t>
      </w:r>
    </w:p>
    <w:p>
      <w:pPr>
        <w:pStyle w:val="style3"/>
        <w:numPr>
          <w:ilvl w:val="2"/>
          <w:numId w:val="2"/>
        </w:numPr>
        <w:ind w:hanging="0" w:left="475" w:right="0"/>
      </w:pPr>
      <w:r>
        <w:rPr>
          <w:b w:val="false"/>
          <w:bCs w:val="false"/>
          <w:color w:val="000000"/>
        </w:rPr>
      </w:r>
    </w:p>
    <w:p>
      <w:pPr>
        <w:pStyle w:val="style0"/>
        <w:spacing w:after="28" w:before="28"/>
        <w:ind w:hanging="0" w:left="475" w:right="0"/>
      </w:pP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>III. TERMIN:</w:t>
      </w: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 xml:space="preserve"> </w:t>
      </w:r>
    </w:p>
    <w:p>
      <w:pPr>
        <w:pStyle w:val="style0"/>
        <w:spacing w:after="28" w:before="28"/>
        <w:ind w:hanging="0" w:left="475" w:right="0"/>
      </w:pP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>22 – 23 września 2012 r.</w:t>
        <w:br/>
        <w:br/>
        <w:t>I</w:t>
      </w: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>V. MIEJSCE:</w:t>
      </w: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 xml:space="preserve"> </w:t>
      </w:r>
    </w:p>
    <w:p>
      <w:pPr>
        <w:pStyle w:val="style0"/>
        <w:spacing w:after="28" w:before="28"/>
        <w:ind w:hanging="0" w:left="475" w:right="0"/>
      </w:pP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>Miejsko-Gminny Ośrodek Kultury i Sportu w Dobczycach</w:t>
      </w:r>
    </w:p>
    <w:p>
      <w:pPr>
        <w:pStyle w:val="style0"/>
        <w:spacing w:after="28" w:before="28"/>
        <w:ind w:hanging="0" w:left="475" w:right="0"/>
        <w:jc w:val="left"/>
      </w:pPr>
      <w:r>
        <w:rPr>
          <w:b w:val="false"/>
          <w:bCs w:val="false"/>
          <w:color w:val="000000"/>
        </w:rPr>
      </w:r>
    </w:p>
    <w:p>
      <w:pPr>
        <w:pStyle w:val="style0"/>
        <w:spacing w:after="28" w:before="28"/>
        <w:ind w:hanging="0" w:left="475" w:right="0"/>
        <w:jc w:val="left"/>
      </w:pP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>V. UWAGA:</w:t>
      </w:r>
    </w:p>
    <w:p>
      <w:pPr>
        <w:pStyle w:val="style3"/>
        <w:numPr>
          <w:ilvl w:val="2"/>
          <w:numId w:val="2"/>
        </w:numPr>
        <w:spacing w:after="28" w:before="28"/>
        <w:ind w:hanging="0" w:left="475" w:right="0"/>
        <w:jc w:val="left"/>
      </w:pP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 xml:space="preserve">W związku z nieprzewidywanymi w roku ubiegłym możliwościami organizacji </w:t>
        <w:br/>
        <w:t>I Ogólnopolskiego Turnieju Tańców Polskich „Dobczyce 2012” wniosek o jego realizację wpłynął do Komisji ds. Tańców Polskich w nieregulaminowym terminie. Wobec zaistniałej sytuacji Prezydium Komisji ds. Tańców Polskich podjęło decyzję, że pary biorące udział w Turnieju startujące w klasie „A” nie będą mogły otrzymać punktów rankingowych, zaś pary klasy „B” nie</w:t>
        <w:br/>
        <w:t xml:space="preserve">otrzymają punktów klasowych. </w:t>
        <w:br/>
      </w:r>
    </w:p>
    <w:p>
      <w:pPr>
        <w:pStyle w:val="style0"/>
        <w:spacing w:after="28" w:before="28"/>
        <w:ind w:hanging="0" w:left="475" w:right="0"/>
      </w:pP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>VI</w:t>
      </w: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>. KATEGORIE WIEKOWE:</w:t>
      </w:r>
    </w:p>
    <w:p>
      <w:pPr>
        <w:pStyle w:val="style0"/>
        <w:numPr>
          <w:ilvl w:val="1"/>
          <w:numId w:val="5"/>
        </w:numPr>
        <w:spacing w:after="28" w:before="28" w:line="100" w:lineRule="atLeast"/>
        <w:ind w:hanging="0" w:left="475" w:right="0"/>
        <w:jc w:val="both"/>
      </w:pP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 xml:space="preserve">Kategoria I: 7-9 lat - polka, krakowiak, ewentualnie taniec regionalny </w:t>
      </w:r>
    </w:p>
    <w:p>
      <w:pPr>
        <w:pStyle w:val="style0"/>
        <w:numPr>
          <w:ilvl w:val="1"/>
          <w:numId w:val="5"/>
        </w:numPr>
        <w:spacing w:after="28" w:before="28" w:line="100" w:lineRule="atLeast"/>
        <w:ind w:hanging="0" w:left="475" w:right="0"/>
        <w:jc w:val="both"/>
      </w:pP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 xml:space="preserve">Kategoria II: 10-12 lat - polka, krakowiak, ewentualnie taniec regionalny </w:t>
      </w:r>
    </w:p>
    <w:p>
      <w:pPr>
        <w:pStyle w:val="style0"/>
        <w:numPr>
          <w:ilvl w:val="1"/>
          <w:numId w:val="5"/>
        </w:numPr>
        <w:spacing w:after="28" w:before="28" w:line="100" w:lineRule="atLeast"/>
        <w:ind w:hanging="0" w:left="475" w:right="0"/>
        <w:jc w:val="both"/>
      </w:pP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 xml:space="preserve">Kategoria III: 13-15 lat - polka, krakowiak. oberek </w:t>
      </w:r>
    </w:p>
    <w:p>
      <w:pPr>
        <w:pStyle w:val="style0"/>
        <w:numPr>
          <w:ilvl w:val="1"/>
          <w:numId w:val="5"/>
        </w:numPr>
        <w:spacing w:after="28" w:before="28" w:line="100" w:lineRule="atLeast"/>
        <w:ind w:hanging="0" w:left="475" w:right="0"/>
        <w:jc w:val="both"/>
      </w:pP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 xml:space="preserve">Kategoria IV: 16-18 lat - krakowiak, mazur, oberek, kujawiak </w:t>
      </w:r>
    </w:p>
    <w:p>
      <w:pPr>
        <w:pStyle w:val="style0"/>
        <w:numPr>
          <w:ilvl w:val="1"/>
          <w:numId w:val="5"/>
        </w:numPr>
        <w:spacing w:after="28" w:before="28" w:line="100" w:lineRule="atLeast"/>
        <w:ind w:hanging="0" w:left="475" w:right="0"/>
        <w:jc w:val="both"/>
      </w:pP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 xml:space="preserve">Kategoria V: klasa A: 19-30 lat - krakowiak, mazur, oberek, kujawiak </w:t>
      </w:r>
    </w:p>
    <w:p>
      <w:pPr>
        <w:pStyle w:val="style0"/>
        <w:numPr>
          <w:ilvl w:val="1"/>
          <w:numId w:val="5"/>
        </w:numPr>
        <w:spacing w:after="28" w:before="28" w:line="100" w:lineRule="atLeast"/>
        <w:ind w:hanging="0" w:left="475" w:right="0"/>
        <w:jc w:val="both"/>
      </w:pP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>Kategoria V: klasa B: 19-30 lat - krakowiak, mazur, oberek, kujawiak</w:t>
      </w:r>
    </w:p>
    <w:p>
      <w:pPr>
        <w:pStyle w:val="style0"/>
        <w:numPr>
          <w:ilvl w:val="1"/>
          <w:numId w:val="5"/>
        </w:numPr>
        <w:spacing w:after="28" w:before="28" w:line="100" w:lineRule="atLeast"/>
        <w:ind w:hanging="0" w:left="475" w:right="0"/>
        <w:jc w:val="both"/>
      </w:pP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 xml:space="preserve">Kategoria VI: 31-40 lat - kujawiak, mazur, oberek </w:t>
      </w:r>
    </w:p>
    <w:p>
      <w:pPr>
        <w:pStyle w:val="style0"/>
        <w:numPr>
          <w:ilvl w:val="1"/>
          <w:numId w:val="5"/>
        </w:numPr>
        <w:spacing w:after="240" w:before="28" w:line="100" w:lineRule="atLeast"/>
        <w:ind w:hanging="0" w:left="475" w:right="0"/>
        <w:jc w:val="both"/>
      </w:pPr>
      <w:r>
        <w:rPr>
          <w:rFonts w:ascii="Arial ce" w:hAnsi="Arial ce"/>
          <w:b w:val="false"/>
          <w:bCs w:val="false"/>
          <w:color w:val="000000"/>
          <w:sz w:val="20"/>
          <w:szCs w:val="20"/>
        </w:rPr>
        <w:t xml:space="preserve">Kategoria VII: powyżej 40 lat - kujawiak, mazur </w:t>
      </w:r>
    </w:p>
    <w:p>
      <w:pPr>
        <w:pStyle w:val="style3"/>
        <w:numPr>
          <w:ilvl w:val="2"/>
          <w:numId w:val="1"/>
        </w:numPr>
        <w:spacing w:after="28" w:before="28"/>
        <w:ind w:hanging="0" w:left="475" w:right="0"/>
      </w:pP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>- O przydzieleniu do I, II, III, IV i V kategorii decyduje wiek osoby starszej w parze.</w:t>
      </w:r>
    </w:p>
    <w:p>
      <w:pPr>
        <w:pStyle w:val="style3"/>
        <w:numPr>
          <w:ilvl w:val="2"/>
          <w:numId w:val="1"/>
        </w:numPr>
        <w:spacing w:after="28" w:before="28"/>
        <w:ind w:hanging="0" w:left="475" w:right="0"/>
      </w:pP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>- Prawo startu w kategorii VI mają pary w których co najmniej jedna z osób mieści się w przedziale wiekowym 30 - 40 lat.</w:t>
      </w:r>
    </w:p>
    <w:p>
      <w:pPr>
        <w:pStyle w:val="style3"/>
        <w:numPr>
          <w:ilvl w:val="2"/>
          <w:numId w:val="1"/>
        </w:numPr>
        <w:spacing w:after="28" w:before="28"/>
        <w:ind w:hanging="0" w:left="475" w:right="0"/>
      </w:pPr>
      <w:r>
        <w:rPr>
          <w:rFonts w:ascii="Arial ce" w:hAnsi="Arial ce"/>
          <w:b w:val="false"/>
          <w:bCs w:val="false"/>
          <w:color w:val="000000"/>
          <w:sz w:val="20"/>
          <w:szCs w:val="20"/>
        </w:rPr>
        <w:t>- Prawo startu w kategorii VII mają wyłącznie wykonawcy powyżej 40 roku życia.</w:t>
      </w:r>
    </w:p>
    <w:p>
      <w:pPr>
        <w:pStyle w:val="style3"/>
        <w:numPr>
          <w:ilvl w:val="2"/>
          <w:numId w:val="1"/>
        </w:numPr>
        <w:spacing w:after="28" w:before="28"/>
        <w:ind w:hanging="0" w:left="475" w:right="0"/>
      </w:pP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>- Wiek tańczącego wyznacza rok urodzenia.</w:t>
      </w:r>
    </w:p>
    <w:p>
      <w:pPr>
        <w:pStyle w:val="style3"/>
        <w:numPr>
          <w:ilvl w:val="2"/>
          <w:numId w:val="1"/>
        </w:numPr>
        <w:spacing w:after="28" w:before="28"/>
        <w:ind w:hanging="0" w:left="475" w:right="0"/>
      </w:pP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 xml:space="preserve">- Konkurs może być przeprowadzony we wszystkich kategoriach wiekowych lub tylko w niektórych, wybranych przez organizatora. </w:t>
      </w:r>
    </w:p>
    <w:p>
      <w:pPr>
        <w:pStyle w:val="style3"/>
        <w:numPr>
          <w:ilvl w:val="2"/>
          <w:numId w:val="1"/>
        </w:numPr>
        <w:spacing w:after="28" w:before="28"/>
        <w:ind w:hanging="0" w:left="475" w:right="0"/>
      </w:pP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 xml:space="preserve">- Odpowiedzialność za zaszeregowanie do właściwej kategorii ponosi para i jej instruktor. </w:t>
      </w:r>
    </w:p>
    <w:p>
      <w:pPr>
        <w:pStyle w:val="style3"/>
        <w:numPr>
          <w:ilvl w:val="2"/>
          <w:numId w:val="1"/>
        </w:numPr>
        <w:spacing w:after="28" w:before="28"/>
        <w:ind w:hanging="0" w:left="475" w:right="0"/>
      </w:pP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 xml:space="preserve">- Przed rozpoczęciem rywalizacji organizator zapewnia startującym parom próbę parkietu. </w:t>
      </w:r>
    </w:p>
    <w:p>
      <w:pPr>
        <w:pStyle w:val="style3"/>
        <w:numPr>
          <w:ilvl w:val="2"/>
          <w:numId w:val="1"/>
        </w:numPr>
        <w:spacing w:after="28" w:before="28"/>
        <w:ind w:hanging="0" w:left="475" w:right="0"/>
      </w:pP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 xml:space="preserve">- Czas prezentacji we wszystkich tańcach powinien wynosić około 2 minut. </w:t>
      </w:r>
    </w:p>
    <w:p>
      <w:pPr>
        <w:pStyle w:val="style3"/>
        <w:numPr>
          <w:ilvl w:val="2"/>
          <w:numId w:val="1"/>
        </w:numPr>
        <w:spacing w:after="28" w:before="28"/>
        <w:ind w:hanging="0" w:left="475" w:right="0"/>
        <w:jc w:val="left"/>
      </w:pP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 xml:space="preserve">- Komisja ds. Tańców Polskich wyznaczyła do prezentacji indywidualnych następujące tańce: </w:t>
        <w:br/>
        <w:t xml:space="preserve">kategoria III A – oberek, </w:t>
        <w:br/>
        <w:t xml:space="preserve">kategoria IV A – mazur, </w:t>
        <w:br/>
        <w:t>kategoria V A – krakowiak.</w:t>
      </w:r>
    </w:p>
    <w:p>
      <w:pPr>
        <w:pStyle w:val="style22"/>
        <w:spacing w:after="28" w:before="28"/>
        <w:ind w:hanging="0" w:left="475" w:right="0"/>
        <w:jc w:val="left"/>
      </w:pPr>
      <w:r>
        <w:rPr>
          <w:b w:val="false"/>
          <w:bCs w:val="false"/>
          <w:color w:val="000000"/>
        </w:rPr>
      </w:r>
    </w:p>
    <w:p>
      <w:pPr>
        <w:pStyle w:val="style3"/>
        <w:numPr>
          <w:ilvl w:val="2"/>
          <w:numId w:val="2"/>
        </w:numPr>
        <w:spacing w:after="28" w:before="28"/>
        <w:ind w:hanging="0" w:left="475" w:right="0"/>
      </w:pP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>VII. KRYTERIA OCEN:</w:t>
      </w: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 xml:space="preserve"> </w:t>
      </w:r>
    </w:p>
    <w:p>
      <w:pPr>
        <w:pStyle w:val="style3"/>
        <w:numPr>
          <w:ilvl w:val="2"/>
          <w:numId w:val="2"/>
        </w:numPr>
        <w:spacing w:after="240" w:before="0"/>
        <w:ind w:hanging="0" w:left="475" w:right="0"/>
      </w:pP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>W konkursach tańców polskich obowiązują następujące kryteria ocen:</w:t>
      </w:r>
    </w:p>
    <w:p>
      <w:pPr>
        <w:pStyle w:val="style3"/>
        <w:numPr>
          <w:ilvl w:val="0"/>
          <w:numId w:val="6"/>
        </w:numPr>
        <w:spacing w:after="28" w:before="28"/>
        <w:ind w:hanging="0" w:left="475" w:right="0"/>
      </w:pP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 xml:space="preserve">muzykalność - wrażliwość na elementy składowe muzyki takie jak metrum, rytm, tempo, dynamika, budowa formalna utworu a także zdolność emocjonalnego przeżywania muzyki. </w:t>
      </w:r>
    </w:p>
    <w:p>
      <w:pPr>
        <w:pStyle w:val="style3"/>
        <w:numPr>
          <w:ilvl w:val="0"/>
          <w:numId w:val="6"/>
        </w:numPr>
        <w:spacing w:after="28" w:before="28"/>
        <w:ind w:hanging="0" w:left="475" w:right="0"/>
      </w:pP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 xml:space="preserve">utrzymanie stylu i charakteru tańca - zgodna z obowiązującą , w danym tańcu konwencją -postawa taneczna, spos6b trzymania w parze, sposób zachowania się w tańcu. </w:t>
      </w:r>
    </w:p>
    <w:p>
      <w:pPr>
        <w:pStyle w:val="style3"/>
        <w:numPr>
          <w:ilvl w:val="0"/>
          <w:numId w:val="6"/>
        </w:numPr>
        <w:spacing w:after="28" w:before="28"/>
        <w:ind w:hanging="0" w:left="475" w:right="0"/>
      </w:pP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 xml:space="preserve">technika taneczna - prawidłowy sposób wykonania tańca. Prawidłowość wykonawcza dotyczy przede wszystkim kroków, figur i tematów, logiczności ich połączeń zgodnej ze sztuką taneczną oraz stopnia automatyzacji prezentowanego ruchu. Zasady tej poprawności są zgodne z ustaleniami Rady Ekspertów ds. Folkloru Ministerstwa Kultury i Sztuki zakończonych w roku 1989. </w:t>
      </w:r>
    </w:p>
    <w:p>
      <w:pPr>
        <w:pStyle w:val="style3"/>
        <w:numPr>
          <w:ilvl w:val="0"/>
          <w:numId w:val="6"/>
        </w:numPr>
        <w:spacing w:after="28" w:before="28"/>
        <w:ind w:hanging="0" w:left="475" w:right="0"/>
      </w:pP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 xml:space="preserve">ogólny wyraz artystyczny - zdolność i umiejętność takiego zaprezentowania tańca, które w oparciu o odpowiednio wysoką lub mistrzowską technikę taneczną, zamierza sprostać lub spełnia wymogi sztuki -piękna, harmonii i estetyki. </w:t>
      </w:r>
    </w:p>
    <w:p>
      <w:pPr>
        <w:pStyle w:val="style3"/>
        <w:numPr>
          <w:ilvl w:val="0"/>
          <w:numId w:val="6"/>
        </w:numPr>
        <w:spacing w:after="28" w:before="28"/>
        <w:ind w:hanging="0" w:left="475" w:right="0"/>
      </w:pP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 xml:space="preserve">estetyczny wygląd pary - prezencja, estetyka ubioru pary i jego funkcjonalność. </w:t>
      </w:r>
    </w:p>
    <w:p>
      <w:pPr>
        <w:pStyle w:val="style3"/>
        <w:numPr>
          <w:ilvl w:val="2"/>
          <w:numId w:val="2"/>
        </w:numPr>
        <w:ind w:hanging="0" w:left="475" w:right="0"/>
      </w:pP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>VIII. KOMISJA SĘDZIOWSKA I ZASADY SĘDZIOWANIA:</w:t>
      </w: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 xml:space="preserve"> </w:t>
      </w:r>
    </w:p>
    <w:p>
      <w:pPr>
        <w:pStyle w:val="style3"/>
        <w:numPr>
          <w:ilvl w:val="0"/>
          <w:numId w:val="7"/>
        </w:numPr>
        <w:spacing w:after="28" w:before="28"/>
        <w:ind w:hanging="0" w:left="475" w:right="0"/>
      </w:pP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 xml:space="preserve">Ocenę prezentacji par tanecznych organizator konkursu powierza zespołowi jurorów składającemu się z minimum 5 sędziów i sędziego skrutinera. </w:t>
      </w:r>
    </w:p>
    <w:p>
      <w:pPr>
        <w:pStyle w:val="style3"/>
        <w:numPr>
          <w:ilvl w:val="0"/>
          <w:numId w:val="7"/>
        </w:numPr>
        <w:spacing w:after="28" w:before="28"/>
        <w:ind w:hanging="0" w:left="475" w:right="0"/>
      </w:pP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 xml:space="preserve">Z grona jurorów wybiera się sędziego głównego, który decyduje o sposobie rozwiązania problemów dotyczących sędziowania, a pojawiających się w trakcie konkursu np. zarządza dogrywkę pomiędzy parami, decyduje o liczebności w grupach eliminacyjnych itp. </w:t>
      </w:r>
    </w:p>
    <w:p>
      <w:pPr>
        <w:pStyle w:val="style3"/>
        <w:numPr>
          <w:ilvl w:val="0"/>
          <w:numId w:val="7"/>
        </w:numPr>
        <w:spacing w:after="28" w:before="28"/>
        <w:ind w:hanging="0" w:left="475" w:right="0"/>
      </w:pP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 xml:space="preserve">W pierwszych dwóch kategoriach wiekowych sędziowanie jest niejawne, łącznie z finałem. W rundach eliminacyjnych pozostałych kategorii sędziowanie jest niejawne. Typowanie pary do kolejnej rundy odbywa się przez postawienie przy numerze tej pary znaku "X". W finale sędziowanie jest jawne, na miejsca od 1-6. </w:t>
      </w:r>
    </w:p>
    <w:p>
      <w:pPr>
        <w:pStyle w:val="style3"/>
        <w:numPr>
          <w:ilvl w:val="0"/>
          <w:numId w:val="7"/>
        </w:numPr>
        <w:spacing w:after="28" w:before="28"/>
        <w:ind w:hanging="0" w:left="475" w:right="0"/>
      </w:pP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 xml:space="preserve">Brak wywołanej pary na parkiecie jest traktowany jako rezygnacja z rywalizacji i przyznanie ostatniego miejsca w określonym tańcu rozgrywanej rundy. W kolejnych tańcach tej rundy para ta może nadal tańczyć. </w:t>
      </w:r>
    </w:p>
    <w:p>
      <w:pPr>
        <w:pStyle w:val="style3"/>
        <w:numPr>
          <w:ilvl w:val="2"/>
          <w:numId w:val="2"/>
        </w:numPr>
        <w:ind w:hanging="0" w:left="475" w:right="0"/>
        <w:jc w:val="left"/>
      </w:pP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br/>
      </w: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>IX. ROZPOCZĘCIE POLONEZEM</w:t>
      </w: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 xml:space="preserve"> </w:t>
        <w:br/>
        <w:t>Turniej rozpocznie się polonezem (pożądana umiejętność wykonania kroku podstawowego oraz znajomość figur w obrębie jednej pary).</w:t>
      </w:r>
    </w:p>
    <w:p>
      <w:pPr>
        <w:pStyle w:val="style3"/>
        <w:numPr>
          <w:ilvl w:val="2"/>
          <w:numId w:val="2"/>
        </w:numPr>
        <w:ind w:hanging="0" w:left="475" w:right="0"/>
        <w:jc w:val="left"/>
      </w:pP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br/>
      </w: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>X. ZASADA RUCHU</w:t>
      </w: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 xml:space="preserve"> </w:t>
        <w:br/>
        <w:t>Podczas turnieju obowiązuje zasada poruszania się w I kierunku tańca (przeciwny do ruchu wskazówek zegara).</w:t>
      </w:r>
    </w:p>
    <w:p>
      <w:pPr>
        <w:pStyle w:val="style3"/>
        <w:numPr>
          <w:ilvl w:val="2"/>
          <w:numId w:val="2"/>
        </w:numPr>
        <w:ind w:hanging="0" w:left="475" w:right="0"/>
        <w:jc w:val="left"/>
      </w:pP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br/>
      </w: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>XII. KOSTIUM</w:t>
      </w: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 xml:space="preserve"> </w:t>
        <w:br/>
        <w:t>Pary konkursowe podczas turnieju występują w strojach wizytowych.</w:t>
      </w:r>
    </w:p>
    <w:p>
      <w:pPr>
        <w:pStyle w:val="style22"/>
        <w:ind w:hanging="0" w:left="475" w:right="0"/>
        <w:jc w:val="left"/>
      </w:pPr>
      <w:r>
        <w:rPr>
          <w:b w:val="false"/>
          <w:bCs w:val="false"/>
          <w:color w:val="000000"/>
        </w:rPr>
      </w:r>
    </w:p>
    <w:p>
      <w:pPr>
        <w:pStyle w:val="style22"/>
        <w:numPr>
          <w:ilvl w:val="0"/>
          <w:numId w:val="8"/>
        </w:numPr>
        <w:ind w:hanging="0" w:left="475" w:right="0"/>
        <w:jc w:val="left"/>
      </w:pP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>Klauzula poufności</w:t>
      </w:r>
    </w:p>
    <w:p>
      <w:pPr>
        <w:pStyle w:val="style22"/>
        <w:ind w:hanging="0" w:left="475" w:right="0"/>
        <w:jc w:val="left"/>
      </w:pPr>
      <w:r>
        <w:rPr>
          <w:rFonts w:ascii="Arial ce" w:cs="Arial" w:hAnsi="Arial ce"/>
          <w:b w:val="false"/>
          <w:bCs w:val="false"/>
          <w:color w:val="000000"/>
          <w:sz w:val="20"/>
          <w:szCs w:val="20"/>
        </w:rPr>
        <w:t>Uczestnicy turnieju wyrażają zgodę na przetwarzanie danych osobowych przez organizatora w zakresie niezbędnym do prawidłowej organizacji turnieju oraz na rejestrację fotograficzną i filmową z przeznaczeniem do celów niekomercyjnych.</w:t>
      </w:r>
    </w:p>
    <w:p>
      <w:pPr>
        <w:pStyle w:val="style0"/>
        <w:ind w:hanging="0" w:left="475" w:right="0"/>
      </w:pPr>
      <w:r>
        <w:rPr>
          <w:b w:val="false"/>
          <w:bCs w:val="false"/>
          <w:color w:val="000000"/>
        </w:rPr>
      </w:r>
    </w:p>
    <w:p>
      <w:pPr>
        <w:pStyle w:val="style26"/>
        <w:jc w:val="center"/>
      </w:pPr>
      <w:r>
        <w:rPr>
          <w:b w:val="false"/>
          <w:bCs w:val="false"/>
          <w:color w:val="000000"/>
        </w:rPr>
      </w:r>
    </w:p>
    <w:p>
      <w:pPr>
        <w:pStyle w:val="style26"/>
        <w:jc w:val="center"/>
      </w:pPr>
      <w:r>
        <w:rPr>
          <w:b w:val="false"/>
          <w:bCs w:val="false"/>
          <w:color w:val="000000"/>
        </w:rPr>
      </w:r>
    </w:p>
    <w:p>
      <w:pPr>
        <w:pStyle w:val="style26"/>
        <w:jc w:val="center"/>
      </w:pPr>
      <w:r>
        <w:rPr>
          <w:b w:val="false"/>
          <w:bCs w:val="false"/>
          <w:color w:val="000000"/>
        </w:rPr>
      </w:r>
    </w:p>
    <w:p>
      <w:pPr>
        <w:pStyle w:val="style26"/>
        <w:jc w:val="center"/>
      </w:pPr>
      <w:r>
        <w:rPr>
          <w:b w:val="false"/>
          <w:bCs w:val="false"/>
          <w:color w:val="000000"/>
          <w:sz w:val="12"/>
          <w:lang w:val="en-US"/>
        </w:rPr>
        <w:t>…………………………………………………………………………………</w:t>
      </w:r>
      <w:r>
        <w:rPr>
          <w:b w:val="false"/>
          <w:bCs w:val="false"/>
          <w:color w:val="000000"/>
          <w:sz w:val="12"/>
          <w:lang w:val="en-US"/>
        </w:rPr>
        <w:t>..</w:t>
      </w:r>
    </w:p>
    <w:p>
      <w:pPr>
        <w:pStyle w:val="style26"/>
        <w:spacing w:after="120" w:before="0"/>
        <w:jc w:val="center"/>
      </w:pPr>
      <w:r>
        <w:rPr>
          <w:b w:val="false"/>
          <w:bCs w:val="false"/>
          <w:color w:val="000000"/>
          <w:sz w:val="16"/>
        </w:rPr>
        <w:t>podpis</w:t>
      </w:r>
      <w:r>
        <w:rPr>
          <w:b w:val="false"/>
          <w:bCs w:val="false"/>
          <w:color w:val="000000"/>
          <w:sz w:val="16"/>
          <w:lang w:val="en-US"/>
        </w:rPr>
        <w:t xml:space="preserve"> </w:t>
      </w:r>
      <w:r>
        <w:rPr>
          <w:b w:val="false"/>
          <w:bCs w:val="false"/>
          <w:color w:val="000000"/>
          <w:sz w:val="16"/>
        </w:rPr>
        <w:t>dyrektora</w:t>
      </w:r>
      <w:r>
        <w:rPr>
          <w:b w:val="false"/>
          <w:bCs w:val="false"/>
          <w:color w:val="000000"/>
          <w:sz w:val="16"/>
          <w:lang w:val="en-US"/>
        </w:rPr>
        <w:t xml:space="preserve"> </w:t>
      </w:r>
      <w:r>
        <w:rPr>
          <w:b w:val="false"/>
          <w:bCs w:val="false"/>
          <w:color w:val="000000"/>
          <w:sz w:val="16"/>
        </w:rPr>
        <w:t>turnieju</w:t>
      </w:r>
    </w:p>
    <w:sectPr>
      <w:type w:val="nextPage"/>
      <w:pgSz w:h="16838" w:w="11906"/>
      <w:pgMar w:bottom="1417" w:footer="0" w:gutter="0" w:header="0" w:left="1417" w:right="1417" w:top="1417"/>
      <w:pgNumType w:fmt="decimal"/>
      <w:formProt w:val="false"/>
      <w:textDirection w:val="lrTb"/>
      <w:docGrid w:charSpace="8192" w:linePitch="360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80"/>
    <w:family w:val="roman"/>
    <w:pitch w:val="variable"/>
  </w:font>
  <w:font w:name="Courier New">
    <w:charset w:val="80"/>
    <w:family w:val="modern"/>
    <w:pitch w:val="fixed"/>
  </w:font>
</w:fonts>
</file>

<file path=word/numbering.xml><?xml version="1.0" encoding="utf-8"?>
<w:numbering xmlns:w="http://schemas.openxmlformats.org/wordprocessingml/2006/main">
  <w:abstractNum w:abstractNumId="1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lvl w:ilvl="0">
      <w:start w:val="1"/>
      <w:numFmt w:val="upperRoman"/>
      <w:lvlText w:val="%1."/>
      <w:lvlJc w:val="right"/>
      <w:pPr>
        <w:tabs>
          <w:tab w:pos="720" w:val="num"/>
        </w:tabs>
        <w:ind w:hanging="360" w:left="720"/>
      </w:pPr>
    </w:lvl>
    <w:lvl w:ilvl="1">
      <w:start w:val="1"/>
      <w:numFmt w:val="bullet"/>
      <w:lvlText w:val="o"/>
      <w:lvlJc w:val="right"/>
      <w:pPr>
        <w:tabs>
          <w:tab w:pos="1440" w:val="num"/>
        </w:tabs>
        <w:ind w:hanging="360" w:left="1440"/>
      </w:pPr>
      <w:rPr>
        <w:rFonts w:ascii="Courier New" w:cs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lvl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lvl w:ilvl="0">
      <w:start w:val="13"/>
      <w:numFmt w:val="upperRoman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tyles.xml><?xml version="1.0" encoding="utf-8"?>
<w:styles xmlns:w="http://schemas.openxmlformats.org/wordprocessingml/2006/main">
  <w:style w:styleId="style0" w:type="paragraph">
    <w:name w:val="Domyślnie"/>
    <w:next w:val="style0"/>
    <w:pPr>
      <w:widowControl/>
      <w:tabs>
        <w:tab w:leader="none" w:pos="708" w:val="left"/>
      </w:tabs>
      <w:suppressAutoHyphens w:val="true"/>
      <w:spacing w:after="200" w:before="0" w:line="276" w:lineRule="auto"/>
    </w:pPr>
    <w:rPr>
      <w:rFonts w:ascii="Calibri" w:cs="" w:eastAsia="Arial Unicode MS" w:hAnsi="Calibri"/>
      <w:color w:val="00000A"/>
      <w:sz w:val="22"/>
      <w:szCs w:val="22"/>
      <w:lang w:bidi="ar-SA" w:eastAsia="pl-PL" w:val="pl-PL"/>
    </w:rPr>
  </w:style>
  <w:style w:styleId="style3" w:type="paragraph">
    <w:name w:val="Nagłówek 3"/>
    <w:basedOn w:val="style0"/>
    <w:next w:val="style22"/>
    <w:pPr>
      <w:numPr>
        <w:ilvl w:val="2"/>
        <w:numId w:val="1"/>
      </w:numPr>
      <w:spacing w:after="0" w:before="0" w:line="100" w:lineRule="atLeast"/>
      <w:ind w:firstLine="600" w:left="0" w:right="0"/>
      <w:jc w:val="both"/>
      <w:outlineLvl w:val="2"/>
    </w:pPr>
    <w:rPr>
      <w:rFonts w:ascii="Verdana" w:cs="Arial Unicode MS" w:eastAsia="Arial Unicode MS" w:hAnsi="Verdana"/>
      <w:b/>
      <w:bCs/>
      <w:color w:val="FFFF22"/>
      <w:sz w:val="18"/>
      <w:szCs w:val="18"/>
    </w:rPr>
  </w:style>
  <w:style w:styleId="style15" w:type="character">
    <w:name w:val="Default Paragraph Font"/>
    <w:next w:val="style15"/>
    <w:rPr/>
  </w:style>
  <w:style w:styleId="style16" w:type="character">
    <w:name w:val="Nagłówek 3 Znak"/>
    <w:basedOn w:val="style15"/>
    <w:next w:val="style16"/>
    <w:rPr>
      <w:rFonts w:ascii="Verdana" w:cs="Arial Unicode MS" w:eastAsia="Arial Unicode MS" w:hAnsi="Verdana"/>
      <w:color w:val="FFFF22"/>
      <w:sz w:val="18"/>
      <w:szCs w:val="18"/>
    </w:rPr>
  </w:style>
  <w:style w:styleId="style17" w:type="character">
    <w:name w:val="ListLabel 1"/>
    <w:next w:val="style17"/>
    <w:rPr>
      <w:rFonts w:cs="Times New Roman"/>
      <w:sz w:val="20"/>
    </w:rPr>
  </w:style>
  <w:style w:styleId="style18" w:type="character">
    <w:name w:val="ListLabel 2"/>
    <w:next w:val="style18"/>
    <w:rPr>
      <w:sz w:val="20"/>
    </w:rPr>
  </w:style>
  <w:style w:styleId="style19" w:type="character">
    <w:name w:val="ListLabel 3"/>
    <w:next w:val="style19"/>
    <w:rPr>
      <w:rFonts w:cs="Courier New"/>
      <w:sz w:val="20"/>
    </w:rPr>
  </w:style>
  <w:style w:styleId="style20" w:type="character">
    <w:name w:val="ListLabel 4"/>
    <w:next w:val="style20"/>
    <w:rPr>
      <w:rFonts w:cs="Symbol"/>
      <w:sz w:val="20"/>
    </w:rPr>
  </w:style>
  <w:style w:styleId="style21" w:type="paragraph">
    <w:name w:val="Nagłówek"/>
    <w:basedOn w:val="style0"/>
    <w:next w:val="style22"/>
    <w:pPr>
      <w:keepNext/>
      <w:spacing w:after="120" w:before="240"/>
    </w:pPr>
    <w:rPr>
      <w:rFonts w:ascii="Arial" w:cs="Arial Unicode MS" w:eastAsia="Arial Unicode MS" w:hAnsi="Arial"/>
      <w:sz w:val="28"/>
      <w:szCs w:val="28"/>
    </w:rPr>
  </w:style>
  <w:style w:styleId="style22" w:type="paragraph">
    <w:name w:val="Treść tekstu"/>
    <w:basedOn w:val="style0"/>
    <w:next w:val="style22"/>
    <w:pPr>
      <w:spacing w:after="120" w:before="0"/>
    </w:pPr>
    <w:rPr/>
  </w:style>
  <w:style w:styleId="style23" w:type="paragraph">
    <w:name w:val="Lista"/>
    <w:basedOn w:val="style22"/>
    <w:next w:val="style23"/>
    <w:pPr/>
    <w:rPr/>
  </w:style>
  <w:style w:styleId="style24" w:type="paragraph">
    <w:name w:val="Podpis"/>
    <w:basedOn w:val="style0"/>
    <w:next w:val="style24"/>
    <w:pPr>
      <w:suppressLineNumbers/>
      <w:spacing w:after="120" w:before="120"/>
    </w:pPr>
    <w:rPr>
      <w:i/>
      <w:iCs/>
      <w:sz w:val="24"/>
      <w:szCs w:val="24"/>
    </w:rPr>
  </w:style>
  <w:style w:styleId="style25" w:type="paragraph">
    <w:name w:val="Indeks"/>
    <w:basedOn w:val="style0"/>
    <w:next w:val="style25"/>
    <w:pPr>
      <w:suppressLineNumbers/>
    </w:pPr>
    <w:rPr/>
  </w:style>
  <w:style w:styleId="style26" w:type="paragraph">
    <w:name w:val="Zawartość ramki"/>
    <w:basedOn w:val="style22"/>
    <w:next w:val="style26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Application>LibreOffice/3.5$MacOSX_x86 LibreOffice_project/7122e39-92ed229-498d286-15e43b4-d70da21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2012-08-03T20:05:00.00Z</dcterms:created>
  <dc:creator>Kasia</dc:creator>
  <cp:lastModifiedBy>Kasia</cp:lastModifiedBy>
  <dcterms:modified xsi:type="dcterms:W3CDTF">2012-08-03T21:13:00.00Z</dcterms:modified>
  <cp:revision>5</cp:revision>
</cp:coreProperties>
</file>